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5D33AA" w:rsidRDefault="00B921ED">
      <w:pPr>
        <w:widowControl w:val="0"/>
        <w:autoSpaceDE w:val="0"/>
        <w:autoSpaceDN w:val="0"/>
        <w:adjustRightInd w:val="0"/>
      </w:pPr>
      <w:r w:rsidRPr="005D33AA">
        <w:rPr>
          <w:b/>
          <w:bCs/>
        </w:rPr>
        <w:t xml:space="preserve">ACUTE VERSUS CHRONIC CORONARY DISEASE OUTCOMES IN OCTOGENARIANS WITH CHRONIC KIDNEY DISEASE </w:t>
      </w:r>
    </w:p>
    <w:p w:rsidR="00B921ED" w:rsidRPr="005D33AA" w:rsidRDefault="00C32E2C">
      <w:pPr>
        <w:widowControl w:val="0"/>
        <w:autoSpaceDE w:val="0"/>
        <w:autoSpaceDN w:val="0"/>
        <w:adjustRightInd w:val="0"/>
      </w:pPr>
      <w:r w:rsidRPr="005D33AA">
        <w:rPr>
          <w:b/>
          <w:bCs/>
          <w:u w:val="single"/>
        </w:rPr>
        <w:t>D. Bhatt</w:t>
      </w:r>
      <w:r w:rsidRPr="005D33AA">
        <w:rPr>
          <w:b/>
          <w:bCs/>
          <w:u w:val="single"/>
          <w:vertAlign w:val="superscript"/>
        </w:rPr>
        <w:t>1</w:t>
      </w:r>
      <w:r w:rsidRPr="005D33AA">
        <w:t xml:space="preserve">, </w:t>
      </w:r>
      <w:r w:rsidR="00B921ED" w:rsidRPr="005D33AA">
        <w:t>G</w:t>
      </w:r>
      <w:r w:rsidR="00C56A86" w:rsidRPr="005D33AA">
        <w:t>. Trivedi</w:t>
      </w:r>
      <w:r w:rsidRPr="005D33AA">
        <w:rPr>
          <w:vertAlign w:val="superscript"/>
        </w:rPr>
        <w:t>1</w:t>
      </w:r>
      <w:r w:rsidR="00C56A86" w:rsidRPr="005D33AA">
        <w:t>, M.</w:t>
      </w:r>
      <w:r w:rsidR="00B921ED" w:rsidRPr="005D33AA">
        <w:t>U</w:t>
      </w:r>
      <w:r w:rsidR="00C56A86" w:rsidRPr="005D33AA">
        <w:t>.</w:t>
      </w:r>
      <w:r w:rsidR="00B921ED" w:rsidRPr="005D33AA">
        <w:t xml:space="preserve"> Saqlain</w:t>
      </w:r>
      <w:r w:rsidR="00C56A86" w:rsidRPr="005D33AA">
        <w:rPr>
          <w:vertAlign w:val="superscript"/>
        </w:rPr>
        <w:t>1</w:t>
      </w:r>
      <w:r w:rsidR="00B921ED" w:rsidRPr="005D33AA">
        <w:t>, M</w:t>
      </w:r>
      <w:r w:rsidR="00C56A86" w:rsidRPr="005D33AA">
        <w:t>. Gibb</w:t>
      </w:r>
      <w:r w:rsidR="00C56A86" w:rsidRPr="005D33AA">
        <w:rPr>
          <w:vertAlign w:val="superscript"/>
        </w:rPr>
        <w:t>1</w:t>
      </w:r>
      <w:r w:rsidR="00C56A86" w:rsidRPr="005D33AA">
        <w:t xml:space="preserve">, S. </w:t>
      </w:r>
      <w:r w:rsidR="00B921ED" w:rsidRPr="005D33AA">
        <w:t>Mehta</w:t>
      </w:r>
      <w:r w:rsidR="00C56A86" w:rsidRPr="005D33AA">
        <w:rPr>
          <w:vertAlign w:val="superscript"/>
        </w:rPr>
        <w:t>1</w:t>
      </w:r>
      <w:r w:rsidR="00B921ED" w:rsidRPr="005D33AA">
        <w:t>, P</w:t>
      </w:r>
      <w:r w:rsidR="00C56A86" w:rsidRPr="005D33AA">
        <w:t>.</w:t>
      </w:r>
      <w:r w:rsidR="00B921ED" w:rsidRPr="005D33AA">
        <w:t xml:space="preserve"> Kansara</w:t>
      </w:r>
      <w:r w:rsidRPr="005D33AA">
        <w:rPr>
          <w:vertAlign w:val="superscript"/>
        </w:rPr>
        <w:t>2</w:t>
      </w:r>
    </w:p>
    <w:p w:rsidR="00C56A86" w:rsidRPr="005D33AA" w:rsidRDefault="00C56A86" w:rsidP="00C56A86">
      <w:pPr>
        <w:widowControl w:val="0"/>
        <w:autoSpaceDE w:val="0"/>
        <w:autoSpaceDN w:val="0"/>
        <w:adjustRightInd w:val="0"/>
      </w:pPr>
      <w:r w:rsidRPr="005D33AA">
        <w:rPr>
          <w:vertAlign w:val="superscript"/>
        </w:rPr>
        <w:t>1</w:t>
      </w:r>
      <w:r w:rsidR="00B921ED" w:rsidRPr="005D33AA">
        <w:t xml:space="preserve">University of Illinois College of Medicine, Urbana-Champaign, IL, USA, </w:t>
      </w:r>
    </w:p>
    <w:p w:rsidR="00B921ED" w:rsidRPr="005D33AA" w:rsidRDefault="00C56A86" w:rsidP="00C56A86">
      <w:pPr>
        <w:widowControl w:val="0"/>
        <w:autoSpaceDE w:val="0"/>
        <w:autoSpaceDN w:val="0"/>
        <w:adjustRightInd w:val="0"/>
      </w:pPr>
      <w:r w:rsidRPr="005D33AA">
        <w:rPr>
          <w:vertAlign w:val="superscript"/>
        </w:rPr>
        <w:t>2</w:t>
      </w:r>
      <w:r w:rsidR="00B921ED" w:rsidRPr="005D33AA">
        <w:t>Cedar-</w:t>
      </w:r>
      <w:r w:rsidRPr="005D33AA">
        <w:t xml:space="preserve">Sinai </w:t>
      </w:r>
      <w:r w:rsidR="00B921ED" w:rsidRPr="005D33AA">
        <w:t>Medical Center, Los Angeles, CA, USA</w:t>
      </w:r>
    </w:p>
    <w:p w:rsidR="00B921ED" w:rsidRPr="005D33AA" w:rsidRDefault="00B921ED">
      <w:pPr>
        <w:widowControl w:val="0"/>
        <w:autoSpaceDE w:val="0"/>
        <w:autoSpaceDN w:val="0"/>
        <w:adjustRightInd w:val="0"/>
      </w:pPr>
    </w:p>
    <w:p w:rsidR="00166F52" w:rsidRPr="005D33AA" w:rsidRDefault="00B921ED">
      <w:pPr>
        <w:widowControl w:val="0"/>
        <w:autoSpaceDE w:val="0"/>
        <w:autoSpaceDN w:val="0"/>
        <w:adjustRightInd w:val="0"/>
        <w:jc w:val="both"/>
      </w:pPr>
      <w:r w:rsidRPr="005D33AA">
        <w:t>Background: Octogenarians (people &gt;80 years of age) have been excluded from studies looking at long term outcomes of Percutaneous Coronary Intervention (PCI). The aim of this study was to evaluate outcomes of PCI in octogenarians with chronic kidney disease (CKD) (</w:t>
      </w:r>
      <w:proofErr w:type="spellStart"/>
      <w:r w:rsidRPr="005D33AA">
        <w:t>eGFR</w:t>
      </w:r>
      <w:proofErr w:type="spellEnd"/>
      <w:r w:rsidRPr="005D33AA">
        <w:t xml:space="preserve"> &lt; 60mL/min/1.73m2) presenting with Acute Coronary Syndrome (ACS) compared to chronic coronary artery disease (CCAD)</w:t>
      </w:r>
    </w:p>
    <w:p w:rsidR="00166F52" w:rsidRPr="005D33AA" w:rsidRDefault="00B921ED">
      <w:pPr>
        <w:widowControl w:val="0"/>
        <w:autoSpaceDE w:val="0"/>
        <w:autoSpaceDN w:val="0"/>
        <w:adjustRightInd w:val="0"/>
        <w:jc w:val="both"/>
      </w:pPr>
      <w:r w:rsidRPr="005D33AA">
        <w:t>Methods: Retrospective data was collected for 334 consecutive patients who underwent PCI during January 2003 to December 2009 at Carle Foundation Hospital. Of these 143 patients with CKD were selected for this study</w:t>
      </w:r>
    </w:p>
    <w:p w:rsidR="00B921ED" w:rsidRPr="005D33AA" w:rsidRDefault="00B921ED">
      <w:pPr>
        <w:widowControl w:val="0"/>
        <w:autoSpaceDE w:val="0"/>
        <w:autoSpaceDN w:val="0"/>
        <w:adjustRightInd w:val="0"/>
        <w:jc w:val="both"/>
      </w:pPr>
      <w:r w:rsidRPr="005D33AA">
        <w:t xml:space="preserve">Results: The patients were stratified based on clinical Presentation: ACS (n=99) or CCAD (n=44). Both groups had identical baseline risk characteristics except ACS patients had high prevalence of chronic kidney disease. A total of 30 patients developed in-stent restenosis: 18.2% with ACS and 27.3% with CCAD (p=0.21). There was no significant relationship between type of stent placed and either recurrent MI, Target Vessel Revascularization (TVR) or death due to all causes. However, patients with CCAD had higher bleeding events (27.3% </w:t>
      </w:r>
      <w:proofErr w:type="spellStart"/>
      <w:r w:rsidRPr="005D33AA">
        <w:t>vs</w:t>
      </w:r>
      <w:proofErr w:type="spellEnd"/>
      <w:r w:rsidRPr="005D33AA">
        <w:t xml:space="preserve"> 10.1%, p=0.009). Conclusion: This study revealed that PCI outcomes were similar in octogenarians who presented with ACS versus CCAD. There was significant higher rate of bleeding in CCAD patient who underwent PCI. The patients with CCAD received more DES and were on dual antiplatelet therapy for longer duration (12 months). Hence, we would recommend BMS in patients with CKD. Further larger studies are required to confirm this hypothesis.</w:t>
      </w:r>
    </w:p>
    <w:p w:rsidR="000E689D" w:rsidRPr="005D33AA" w:rsidRDefault="000E689D">
      <w:pPr>
        <w:widowControl w:val="0"/>
        <w:autoSpaceDE w:val="0"/>
        <w:autoSpaceDN w:val="0"/>
        <w:adjustRightInd w:val="0"/>
        <w:jc w:val="both"/>
      </w:pPr>
    </w:p>
    <w:p w:rsidR="00C32E2C" w:rsidRPr="005D33AA" w:rsidRDefault="000E689D">
      <w:pPr>
        <w:widowControl w:val="0"/>
        <w:autoSpaceDE w:val="0"/>
        <w:autoSpaceDN w:val="0"/>
        <w:adjustRightInd w:val="0"/>
      </w:pPr>
      <w:r w:rsidRPr="005D33AA">
        <w:t>Table:</w:t>
      </w:r>
      <w:r w:rsidR="00C32E2C" w:rsidRPr="005D33AA">
        <w:t xml:space="preserve"> Outcomes of ACS </w:t>
      </w:r>
      <w:proofErr w:type="spellStart"/>
      <w:r w:rsidR="00C32E2C" w:rsidRPr="005D33AA">
        <w:t>vs</w:t>
      </w:r>
      <w:proofErr w:type="spellEnd"/>
      <w:r w:rsidR="00C32E2C" w:rsidRPr="005D33AA">
        <w:t xml:space="preserve"> CCAD</w:t>
      </w:r>
    </w:p>
    <w:p w:rsidR="00C32E2C" w:rsidRPr="005D33AA" w:rsidRDefault="00C32E2C" w:rsidP="00C32E2C"/>
    <w:tbl>
      <w:tblPr>
        <w:tblW w:w="0" w:type="auto"/>
        <w:tblBorders>
          <w:top w:val="single" w:sz="8" w:space="0" w:color="auto"/>
          <w:bottom w:val="single" w:sz="8" w:space="0" w:color="auto"/>
        </w:tblBorders>
        <w:tblLook w:val="04A0" w:firstRow="1" w:lastRow="0" w:firstColumn="1" w:lastColumn="0" w:noHBand="0" w:noVBand="1"/>
      </w:tblPr>
      <w:tblGrid>
        <w:gridCol w:w="2187"/>
        <w:gridCol w:w="2114"/>
        <w:gridCol w:w="2122"/>
        <w:gridCol w:w="2106"/>
      </w:tblGrid>
      <w:tr w:rsidR="005D33AA" w:rsidRPr="005D33AA" w:rsidTr="005D33AA">
        <w:tc>
          <w:tcPr>
            <w:tcW w:w="2394" w:type="dxa"/>
          </w:tcPr>
          <w:p w:rsidR="00C32E2C" w:rsidRPr="005D33AA" w:rsidRDefault="00C32E2C" w:rsidP="00E97820">
            <w:r w:rsidRPr="005D33AA">
              <w:t>Variable</w:t>
            </w:r>
          </w:p>
        </w:tc>
        <w:tc>
          <w:tcPr>
            <w:tcW w:w="2394" w:type="dxa"/>
          </w:tcPr>
          <w:p w:rsidR="00C32E2C" w:rsidRPr="005D33AA" w:rsidRDefault="00C32E2C" w:rsidP="00E97820">
            <w:r w:rsidRPr="005D33AA">
              <w:t>ACS</w:t>
            </w:r>
          </w:p>
        </w:tc>
        <w:tc>
          <w:tcPr>
            <w:tcW w:w="2394" w:type="dxa"/>
          </w:tcPr>
          <w:p w:rsidR="00C32E2C" w:rsidRPr="005D33AA" w:rsidRDefault="00C32E2C" w:rsidP="00E97820">
            <w:r w:rsidRPr="005D33AA">
              <w:t>CCAD</w:t>
            </w:r>
          </w:p>
        </w:tc>
        <w:tc>
          <w:tcPr>
            <w:tcW w:w="2394" w:type="dxa"/>
          </w:tcPr>
          <w:p w:rsidR="00C32E2C" w:rsidRPr="005D33AA" w:rsidRDefault="00C32E2C" w:rsidP="00E97820">
            <w:r w:rsidRPr="005D33AA">
              <w:t>P Value</w:t>
            </w:r>
          </w:p>
        </w:tc>
      </w:tr>
      <w:tr w:rsidR="005D33AA" w:rsidRPr="005D33AA" w:rsidTr="005D33AA">
        <w:tc>
          <w:tcPr>
            <w:tcW w:w="2394" w:type="dxa"/>
            <w:shd w:val="clear" w:color="auto" w:fill="auto"/>
          </w:tcPr>
          <w:p w:rsidR="00C32E2C" w:rsidRPr="005D33AA" w:rsidRDefault="00C32E2C" w:rsidP="00E97820">
            <w:proofErr w:type="spellStart"/>
            <w:r w:rsidRPr="005D33AA">
              <w:t>Instent</w:t>
            </w:r>
            <w:proofErr w:type="spellEnd"/>
            <w:r w:rsidRPr="005D33AA">
              <w:t xml:space="preserve"> Restenosis</w:t>
            </w:r>
          </w:p>
        </w:tc>
        <w:tc>
          <w:tcPr>
            <w:tcW w:w="2394" w:type="dxa"/>
            <w:shd w:val="clear" w:color="auto" w:fill="auto"/>
          </w:tcPr>
          <w:p w:rsidR="00C32E2C" w:rsidRPr="005D33AA" w:rsidRDefault="00C32E2C" w:rsidP="00E97820">
            <w:r w:rsidRPr="005D33AA">
              <w:t>18.3%</w:t>
            </w:r>
          </w:p>
        </w:tc>
        <w:tc>
          <w:tcPr>
            <w:tcW w:w="2394" w:type="dxa"/>
            <w:shd w:val="clear" w:color="auto" w:fill="auto"/>
          </w:tcPr>
          <w:p w:rsidR="00C32E2C" w:rsidRPr="005D33AA" w:rsidRDefault="00C32E2C" w:rsidP="00E97820">
            <w:r w:rsidRPr="005D33AA">
              <w:t>27.3%</w:t>
            </w:r>
          </w:p>
        </w:tc>
        <w:tc>
          <w:tcPr>
            <w:tcW w:w="2394" w:type="dxa"/>
            <w:shd w:val="clear" w:color="auto" w:fill="auto"/>
          </w:tcPr>
          <w:p w:rsidR="00C32E2C" w:rsidRPr="005D33AA" w:rsidRDefault="00C32E2C" w:rsidP="00E97820">
            <w:r w:rsidRPr="005D33AA">
              <w:t>0.21</w:t>
            </w:r>
          </w:p>
        </w:tc>
      </w:tr>
      <w:tr w:rsidR="005D33AA" w:rsidRPr="005D33AA" w:rsidTr="005D33AA">
        <w:tc>
          <w:tcPr>
            <w:tcW w:w="2394" w:type="dxa"/>
          </w:tcPr>
          <w:p w:rsidR="00C32E2C" w:rsidRPr="005D33AA" w:rsidRDefault="00C32E2C" w:rsidP="00E97820">
            <w:r w:rsidRPr="005D33AA">
              <w:t>TVR</w:t>
            </w:r>
          </w:p>
        </w:tc>
        <w:tc>
          <w:tcPr>
            <w:tcW w:w="2394" w:type="dxa"/>
          </w:tcPr>
          <w:p w:rsidR="00C32E2C" w:rsidRPr="005D33AA" w:rsidRDefault="00C32E2C" w:rsidP="00E97820">
            <w:r w:rsidRPr="005D33AA">
              <w:t>9.4%</w:t>
            </w:r>
          </w:p>
        </w:tc>
        <w:tc>
          <w:tcPr>
            <w:tcW w:w="2394" w:type="dxa"/>
          </w:tcPr>
          <w:p w:rsidR="00C32E2C" w:rsidRPr="005D33AA" w:rsidRDefault="00C32E2C" w:rsidP="00E97820">
            <w:r w:rsidRPr="005D33AA">
              <w:t>6.4%</w:t>
            </w:r>
          </w:p>
        </w:tc>
        <w:tc>
          <w:tcPr>
            <w:tcW w:w="2394" w:type="dxa"/>
          </w:tcPr>
          <w:p w:rsidR="00C32E2C" w:rsidRPr="005D33AA" w:rsidRDefault="00C32E2C" w:rsidP="00E97820">
            <w:r w:rsidRPr="005D33AA">
              <w:t>0.34</w:t>
            </w:r>
          </w:p>
        </w:tc>
      </w:tr>
      <w:tr w:rsidR="005D33AA" w:rsidRPr="005D33AA" w:rsidTr="005D33AA">
        <w:tc>
          <w:tcPr>
            <w:tcW w:w="2394" w:type="dxa"/>
            <w:shd w:val="clear" w:color="auto" w:fill="auto"/>
          </w:tcPr>
          <w:p w:rsidR="00C32E2C" w:rsidRPr="005D33AA" w:rsidRDefault="00C32E2C" w:rsidP="00E97820">
            <w:r w:rsidRPr="005D33AA">
              <w:t>Death</w:t>
            </w:r>
          </w:p>
        </w:tc>
        <w:tc>
          <w:tcPr>
            <w:tcW w:w="2394" w:type="dxa"/>
            <w:shd w:val="clear" w:color="auto" w:fill="auto"/>
          </w:tcPr>
          <w:p w:rsidR="00C32E2C" w:rsidRPr="005D33AA" w:rsidRDefault="00C32E2C" w:rsidP="00E97820">
            <w:r w:rsidRPr="005D33AA">
              <w:t>36.4%</w:t>
            </w:r>
          </w:p>
        </w:tc>
        <w:tc>
          <w:tcPr>
            <w:tcW w:w="2394" w:type="dxa"/>
            <w:shd w:val="clear" w:color="auto" w:fill="auto"/>
          </w:tcPr>
          <w:p w:rsidR="00C32E2C" w:rsidRPr="005D33AA" w:rsidRDefault="00C32E2C" w:rsidP="00E97820">
            <w:r w:rsidRPr="005D33AA">
              <w:t>26.9%</w:t>
            </w:r>
          </w:p>
        </w:tc>
        <w:tc>
          <w:tcPr>
            <w:tcW w:w="2394" w:type="dxa"/>
            <w:shd w:val="clear" w:color="auto" w:fill="auto"/>
          </w:tcPr>
          <w:p w:rsidR="00C32E2C" w:rsidRPr="005D33AA" w:rsidRDefault="00C32E2C" w:rsidP="00E97820">
            <w:r w:rsidRPr="005D33AA">
              <w:t>0.10</w:t>
            </w:r>
          </w:p>
        </w:tc>
      </w:tr>
      <w:tr w:rsidR="005D33AA" w:rsidRPr="005D33AA" w:rsidTr="005D33AA">
        <w:tc>
          <w:tcPr>
            <w:tcW w:w="2394" w:type="dxa"/>
          </w:tcPr>
          <w:p w:rsidR="00C32E2C" w:rsidRPr="005D33AA" w:rsidRDefault="00C32E2C" w:rsidP="00E97820">
            <w:r w:rsidRPr="005D33AA">
              <w:t>Recurrent MI</w:t>
            </w:r>
          </w:p>
        </w:tc>
        <w:tc>
          <w:tcPr>
            <w:tcW w:w="2394" w:type="dxa"/>
          </w:tcPr>
          <w:p w:rsidR="00C32E2C" w:rsidRPr="005D33AA" w:rsidRDefault="00C32E2C" w:rsidP="00E97820">
            <w:r w:rsidRPr="005D33AA">
              <w:t>9.6%</w:t>
            </w:r>
          </w:p>
        </w:tc>
        <w:tc>
          <w:tcPr>
            <w:tcW w:w="2394" w:type="dxa"/>
          </w:tcPr>
          <w:p w:rsidR="00C32E2C" w:rsidRPr="005D33AA" w:rsidRDefault="00C32E2C" w:rsidP="00E97820">
            <w:r w:rsidRPr="005D33AA">
              <w:t>6.4%</w:t>
            </w:r>
          </w:p>
        </w:tc>
        <w:tc>
          <w:tcPr>
            <w:tcW w:w="2394" w:type="dxa"/>
          </w:tcPr>
          <w:p w:rsidR="00C32E2C" w:rsidRPr="005D33AA" w:rsidRDefault="00C32E2C" w:rsidP="00E97820">
            <w:r w:rsidRPr="005D33AA">
              <w:t>0.31</w:t>
            </w:r>
          </w:p>
        </w:tc>
      </w:tr>
      <w:tr w:rsidR="005D33AA" w:rsidRPr="005D33AA" w:rsidTr="005D33AA">
        <w:tc>
          <w:tcPr>
            <w:tcW w:w="2394" w:type="dxa"/>
            <w:shd w:val="clear" w:color="auto" w:fill="auto"/>
          </w:tcPr>
          <w:p w:rsidR="00C32E2C" w:rsidRPr="005D33AA" w:rsidRDefault="00C32E2C" w:rsidP="00E97820">
            <w:r w:rsidRPr="005D33AA">
              <w:t>Bleeding</w:t>
            </w:r>
          </w:p>
        </w:tc>
        <w:tc>
          <w:tcPr>
            <w:tcW w:w="2394" w:type="dxa"/>
            <w:shd w:val="clear" w:color="auto" w:fill="auto"/>
          </w:tcPr>
          <w:p w:rsidR="00C32E2C" w:rsidRPr="005D33AA" w:rsidRDefault="00C32E2C" w:rsidP="00E97820">
            <w:r w:rsidRPr="005D33AA">
              <w:t>48.9%</w:t>
            </w:r>
          </w:p>
        </w:tc>
        <w:tc>
          <w:tcPr>
            <w:tcW w:w="2394" w:type="dxa"/>
            <w:shd w:val="clear" w:color="auto" w:fill="auto"/>
          </w:tcPr>
          <w:p w:rsidR="00C32E2C" w:rsidRPr="005D33AA" w:rsidRDefault="00C32E2C" w:rsidP="00E97820">
            <w:r w:rsidRPr="005D33AA">
              <w:t>51.1%</w:t>
            </w:r>
          </w:p>
        </w:tc>
        <w:tc>
          <w:tcPr>
            <w:tcW w:w="2394" w:type="dxa"/>
            <w:shd w:val="clear" w:color="auto" w:fill="auto"/>
          </w:tcPr>
          <w:p w:rsidR="00C32E2C" w:rsidRPr="005D33AA" w:rsidRDefault="00C32E2C" w:rsidP="00E97820">
            <w:r w:rsidRPr="005D33AA">
              <w:t>0.009</w:t>
            </w:r>
          </w:p>
        </w:tc>
      </w:tr>
    </w:tbl>
    <w:p w:rsidR="00C32E2C" w:rsidRPr="005D33AA" w:rsidRDefault="00C32E2C" w:rsidP="00C32E2C"/>
    <w:p w:rsidR="00C32E2C" w:rsidRPr="005D33AA" w:rsidRDefault="00C32E2C" w:rsidP="00C32E2C"/>
    <w:p w:rsidR="00C32E2C" w:rsidRPr="005D33AA" w:rsidRDefault="00C32E2C" w:rsidP="00C32E2C"/>
    <w:p w:rsidR="00C32E2C" w:rsidRPr="005D33AA" w:rsidRDefault="00C32E2C" w:rsidP="005D33AA">
      <w:bookmarkStart w:id="0" w:name="_GoBack"/>
      <w:bookmarkEnd w:id="0"/>
    </w:p>
    <w:sectPr w:rsidR="00C32E2C" w:rsidRPr="005D33AA" w:rsidSect="005D33A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AA" w:rsidRDefault="005D33AA" w:rsidP="00C56A86">
      <w:r>
        <w:separator/>
      </w:r>
    </w:p>
  </w:endnote>
  <w:endnote w:type="continuationSeparator" w:id="0">
    <w:p w:rsidR="005D33AA" w:rsidRDefault="005D33AA" w:rsidP="00C5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AA" w:rsidRDefault="005D33AA" w:rsidP="00C56A86">
      <w:r>
        <w:separator/>
      </w:r>
    </w:p>
  </w:footnote>
  <w:footnote w:type="continuationSeparator" w:id="0">
    <w:p w:rsidR="005D33AA" w:rsidRDefault="005D33AA" w:rsidP="00C5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AA" w:rsidRDefault="005D33AA" w:rsidP="00C56A86">
    <w:pPr>
      <w:pStyle w:val="Header"/>
    </w:pPr>
    <w:r>
      <w:t>1211, poster, cat: 17</w:t>
    </w:r>
  </w:p>
  <w:p w:rsidR="005D33AA" w:rsidRDefault="005D3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E689D"/>
    <w:rsid w:val="00166F52"/>
    <w:rsid w:val="00447B2F"/>
    <w:rsid w:val="005D33AA"/>
    <w:rsid w:val="006D1D61"/>
    <w:rsid w:val="00B921ED"/>
    <w:rsid w:val="00BA5116"/>
    <w:rsid w:val="00C32E2C"/>
    <w:rsid w:val="00C56A86"/>
    <w:rsid w:val="00D56066"/>
    <w:rsid w:val="00E97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86"/>
    <w:pPr>
      <w:tabs>
        <w:tab w:val="center" w:pos="4320"/>
        <w:tab w:val="right" w:pos="8640"/>
      </w:tabs>
    </w:pPr>
  </w:style>
  <w:style w:type="character" w:customStyle="1" w:styleId="HeaderChar">
    <w:name w:val="Header Char"/>
    <w:basedOn w:val="DefaultParagraphFont"/>
    <w:link w:val="Header"/>
    <w:uiPriority w:val="99"/>
    <w:rsid w:val="00C56A86"/>
    <w:rPr>
      <w:sz w:val="24"/>
      <w:szCs w:val="24"/>
    </w:rPr>
  </w:style>
  <w:style w:type="paragraph" w:styleId="Footer">
    <w:name w:val="footer"/>
    <w:basedOn w:val="Normal"/>
    <w:link w:val="FooterChar"/>
    <w:uiPriority w:val="99"/>
    <w:unhideWhenUsed/>
    <w:rsid w:val="00C56A86"/>
    <w:pPr>
      <w:tabs>
        <w:tab w:val="center" w:pos="4320"/>
        <w:tab w:val="right" w:pos="8640"/>
      </w:tabs>
    </w:pPr>
  </w:style>
  <w:style w:type="character" w:customStyle="1" w:styleId="FooterChar">
    <w:name w:val="Footer Char"/>
    <w:basedOn w:val="DefaultParagraphFont"/>
    <w:link w:val="Footer"/>
    <w:uiPriority w:val="99"/>
    <w:rsid w:val="00C56A86"/>
    <w:rPr>
      <w:sz w:val="24"/>
      <w:szCs w:val="24"/>
    </w:rPr>
  </w:style>
  <w:style w:type="paragraph" w:styleId="BalloonText">
    <w:name w:val="Balloon Text"/>
    <w:basedOn w:val="Normal"/>
    <w:link w:val="BalloonTextChar"/>
    <w:uiPriority w:val="99"/>
    <w:semiHidden/>
    <w:unhideWhenUsed/>
    <w:rsid w:val="00C56A86"/>
    <w:rPr>
      <w:rFonts w:ascii="Tahoma" w:hAnsi="Tahoma" w:cs="Tahoma"/>
      <w:sz w:val="16"/>
      <w:szCs w:val="16"/>
    </w:rPr>
  </w:style>
  <w:style w:type="character" w:customStyle="1" w:styleId="BalloonTextChar">
    <w:name w:val="Balloon Text Char"/>
    <w:basedOn w:val="DefaultParagraphFont"/>
    <w:link w:val="BalloonText"/>
    <w:uiPriority w:val="99"/>
    <w:semiHidden/>
    <w:rsid w:val="00C56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86"/>
    <w:pPr>
      <w:tabs>
        <w:tab w:val="center" w:pos="4320"/>
        <w:tab w:val="right" w:pos="8640"/>
      </w:tabs>
    </w:pPr>
  </w:style>
  <w:style w:type="character" w:customStyle="1" w:styleId="HeaderChar">
    <w:name w:val="Header Char"/>
    <w:basedOn w:val="DefaultParagraphFont"/>
    <w:link w:val="Header"/>
    <w:uiPriority w:val="99"/>
    <w:rsid w:val="00C56A86"/>
    <w:rPr>
      <w:sz w:val="24"/>
      <w:szCs w:val="24"/>
    </w:rPr>
  </w:style>
  <w:style w:type="paragraph" w:styleId="Footer">
    <w:name w:val="footer"/>
    <w:basedOn w:val="Normal"/>
    <w:link w:val="FooterChar"/>
    <w:uiPriority w:val="99"/>
    <w:unhideWhenUsed/>
    <w:rsid w:val="00C56A86"/>
    <w:pPr>
      <w:tabs>
        <w:tab w:val="center" w:pos="4320"/>
        <w:tab w:val="right" w:pos="8640"/>
      </w:tabs>
    </w:pPr>
  </w:style>
  <w:style w:type="character" w:customStyle="1" w:styleId="FooterChar">
    <w:name w:val="Footer Char"/>
    <w:basedOn w:val="DefaultParagraphFont"/>
    <w:link w:val="Footer"/>
    <w:uiPriority w:val="99"/>
    <w:rsid w:val="00C56A86"/>
    <w:rPr>
      <w:sz w:val="24"/>
      <w:szCs w:val="24"/>
    </w:rPr>
  </w:style>
  <w:style w:type="paragraph" w:styleId="BalloonText">
    <w:name w:val="Balloon Text"/>
    <w:basedOn w:val="Normal"/>
    <w:link w:val="BalloonTextChar"/>
    <w:uiPriority w:val="99"/>
    <w:semiHidden/>
    <w:unhideWhenUsed/>
    <w:rsid w:val="00C56A86"/>
    <w:rPr>
      <w:rFonts w:ascii="Tahoma" w:hAnsi="Tahoma" w:cs="Tahoma"/>
      <w:sz w:val="16"/>
      <w:szCs w:val="16"/>
    </w:rPr>
  </w:style>
  <w:style w:type="character" w:customStyle="1" w:styleId="BalloonTextChar">
    <w:name w:val="Balloon Text Char"/>
    <w:basedOn w:val="DefaultParagraphFont"/>
    <w:link w:val="BalloonText"/>
    <w:uiPriority w:val="99"/>
    <w:semiHidden/>
    <w:rsid w:val="00C56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5DC6B203</Template>
  <TotalTime>19</TotalTime>
  <Pages>1</Pages>
  <Words>311</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2012-03-08T01:56:00Z</cp:lastPrinted>
  <dcterms:created xsi:type="dcterms:W3CDTF">2012-03-21T09:17:00Z</dcterms:created>
  <dcterms:modified xsi:type="dcterms:W3CDTF">2012-03-21T09:35:00Z</dcterms:modified>
</cp:coreProperties>
</file>